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2"/>
      </w:tblGrid>
      <w:tr w:rsidR="006E32D0" w:rsidRPr="00007888" w14:paraId="0F32CA6B" w14:textId="77777777" w:rsidTr="00C40B71">
        <w:trPr>
          <w:trHeight w:val="220"/>
        </w:trPr>
        <w:tc>
          <w:tcPr>
            <w:tcW w:w="9752" w:type="dxa"/>
            <w:tcBorders>
              <w:top w:val="single" w:sz="4" w:space="0" w:color="003366"/>
              <w:left w:val="single" w:sz="4" w:space="0" w:color="003366"/>
              <w:bottom w:val="single" w:sz="4" w:space="0" w:color="003366"/>
              <w:right w:val="single" w:sz="4" w:space="0" w:color="003366"/>
            </w:tcBorders>
            <w:shd w:val="clear" w:color="auto" w:fill="003366"/>
          </w:tcPr>
          <w:p w14:paraId="1F36AA5F" w14:textId="77777777" w:rsidR="006E32D0" w:rsidRPr="000013C5" w:rsidRDefault="006E32D0" w:rsidP="00C40B71">
            <w:pPr>
              <w:widowControl w:val="0"/>
              <w:tabs>
                <w:tab w:val="center" w:pos="4819"/>
                <w:tab w:val="left" w:pos="5393"/>
                <w:tab w:val="right" w:pos="9638"/>
              </w:tabs>
              <w:autoSpaceDE w:val="0"/>
              <w:autoSpaceDN w:val="0"/>
              <w:adjustRightInd w:val="0"/>
              <w:spacing w:before="20" w:after="20" w:line="80" w:lineRule="atLeast"/>
              <w:ind w:right="-1554"/>
              <w:rPr>
                <w:rFonts w:ascii="Verdana" w:hAnsi="Verdana"/>
                <w:b/>
                <w:color w:val="FFFFFF"/>
                <w:kern w:val="18"/>
                <w:sz w:val="24"/>
                <w:szCs w:val="24"/>
              </w:rPr>
            </w:pPr>
            <w:r w:rsidRPr="000013C5">
              <w:rPr>
                <w:rFonts w:ascii="Verdana" w:hAnsi="Verdana"/>
                <w:b/>
                <w:color w:val="FFFFFF"/>
                <w:sz w:val="24"/>
                <w:szCs w:val="24"/>
              </w:rPr>
              <w:t>Allegato 1</w:t>
            </w:r>
          </w:p>
        </w:tc>
      </w:tr>
      <w:tr w:rsidR="006E32D0" w:rsidRPr="00007888" w14:paraId="5C77EDE0" w14:textId="77777777" w:rsidTr="00C40B71">
        <w:trPr>
          <w:trHeight w:val="220"/>
        </w:trPr>
        <w:tc>
          <w:tcPr>
            <w:tcW w:w="9752" w:type="dxa"/>
            <w:tcBorders>
              <w:top w:val="single" w:sz="4" w:space="0" w:color="003366"/>
              <w:left w:val="single" w:sz="4" w:space="0" w:color="003366"/>
              <w:bottom w:val="single" w:sz="4" w:space="0" w:color="003366"/>
              <w:right w:val="single" w:sz="4" w:space="0" w:color="003366"/>
            </w:tcBorders>
            <w:shd w:val="clear" w:color="auto" w:fill="003366"/>
          </w:tcPr>
          <w:p w14:paraId="2A8C1E6C" w14:textId="77777777" w:rsidR="006E32D0" w:rsidRPr="000013C5" w:rsidRDefault="006E32D0" w:rsidP="00C40B71">
            <w:pPr>
              <w:pStyle w:val="Corpodeltesto3"/>
              <w:rPr>
                <w:rFonts w:ascii="Verdana" w:hAnsi="Verdana"/>
                <w:b/>
                <w:color w:val="FFFFFF"/>
                <w:sz w:val="22"/>
                <w:szCs w:val="22"/>
              </w:rPr>
            </w:pPr>
            <w:r w:rsidRPr="000013C5">
              <w:rPr>
                <w:rFonts w:ascii="Verdana" w:hAnsi="Verdana"/>
                <w:b/>
                <w:sz w:val="22"/>
                <w:szCs w:val="22"/>
              </w:rPr>
              <w:t>Specifica tecnica del servizio di aggregazione e consegna dati di Misura</w:t>
            </w:r>
          </w:p>
        </w:tc>
      </w:tr>
    </w:tbl>
    <w:p w14:paraId="7FED7FA4" w14:textId="77777777" w:rsidR="006E32D0" w:rsidRPr="00CE6C43" w:rsidRDefault="006E32D0" w:rsidP="006E32D0">
      <w:pPr>
        <w:pStyle w:val="Titolo8"/>
        <w:tabs>
          <w:tab w:val="left" w:pos="5220"/>
          <w:tab w:val="left" w:pos="9498"/>
          <w:tab w:val="left" w:pos="9638"/>
        </w:tabs>
        <w:spacing w:before="60"/>
        <w:ind w:right="-1"/>
        <w:jc w:val="both"/>
        <w:rPr>
          <w:b/>
          <w:sz w:val="28"/>
          <w:szCs w:val="28"/>
        </w:rPr>
      </w:pPr>
      <w:r>
        <w:rPr>
          <w:rFonts w:ascii="Arial" w:hAnsi="Arial" w:cs="Arial"/>
          <w:sz w:val="22"/>
          <w:szCs w:val="22"/>
        </w:rPr>
        <w:t xml:space="preserve">              </w:t>
      </w:r>
    </w:p>
    <w:p w14:paraId="5546AB8A" w14:textId="77777777" w:rsidR="006E32D0" w:rsidRPr="00E82DE4" w:rsidRDefault="006E32D0" w:rsidP="006E32D0">
      <w:pPr>
        <w:numPr>
          <w:ilvl w:val="0"/>
          <w:numId w:val="1"/>
        </w:numPr>
        <w:tabs>
          <w:tab w:val="left" w:pos="425"/>
        </w:tabs>
        <w:spacing w:before="120"/>
        <w:ind w:left="357" w:hanging="357"/>
        <w:jc w:val="both"/>
        <w:rPr>
          <w:rFonts w:ascii="Verdana" w:hAnsi="Verdana"/>
          <w:b/>
          <w:sz w:val="22"/>
          <w:szCs w:val="22"/>
        </w:rPr>
      </w:pPr>
      <w:r w:rsidRPr="00E82DE4">
        <w:rPr>
          <w:rFonts w:ascii="Verdana" w:hAnsi="Verdana"/>
          <w:b/>
          <w:sz w:val="22"/>
          <w:szCs w:val="22"/>
        </w:rPr>
        <w:t>Oggetto della Specifica</w:t>
      </w:r>
    </w:p>
    <w:p w14:paraId="132FBBCE" w14:textId="77777777" w:rsidR="006E32D0" w:rsidRPr="00E82DE4" w:rsidRDefault="006E32D0" w:rsidP="006E32D0">
      <w:pPr>
        <w:pStyle w:val="Corpodeltesto"/>
        <w:spacing w:before="120"/>
        <w:rPr>
          <w:rFonts w:ascii="Verdana" w:hAnsi="Verdana"/>
          <w:sz w:val="22"/>
          <w:szCs w:val="22"/>
        </w:rPr>
      </w:pPr>
      <w:r w:rsidRPr="00E82DE4">
        <w:rPr>
          <w:rFonts w:ascii="Verdana" w:hAnsi="Verdana"/>
          <w:sz w:val="22"/>
          <w:szCs w:val="22"/>
        </w:rPr>
        <w:t xml:space="preserve">La presente specifica descrive le modalità di aggregazione e fornitura da parte di Distribuzione al </w:t>
      </w:r>
      <w:r w:rsidRPr="00E30C63">
        <w:rPr>
          <w:rFonts w:ascii="Verdana" w:hAnsi="Verdana"/>
          <w:sz w:val="22"/>
          <w:szCs w:val="22"/>
        </w:rPr>
        <w:t>Richiedente</w:t>
      </w:r>
      <w:r w:rsidRPr="00E82DE4">
        <w:rPr>
          <w:rFonts w:ascii="Verdana" w:hAnsi="Verdana"/>
          <w:sz w:val="22"/>
          <w:szCs w:val="22"/>
        </w:rPr>
        <w:t xml:space="preserve"> dei dati di misura dei contatori installati presso i clienti finali.</w:t>
      </w:r>
    </w:p>
    <w:p w14:paraId="29448C2E" w14:textId="77777777" w:rsidR="006E32D0" w:rsidRPr="00E82DE4" w:rsidRDefault="006E32D0" w:rsidP="006E32D0">
      <w:pPr>
        <w:pStyle w:val="Corpodeltesto"/>
        <w:rPr>
          <w:rFonts w:ascii="Verdana" w:hAnsi="Verdana"/>
          <w:sz w:val="22"/>
          <w:szCs w:val="22"/>
        </w:rPr>
      </w:pPr>
    </w:p>
    <w:p w14:paraId="45C278FB" w14:textId="77777777" w:rsidR="006E32D0" w:rsidRPr="00E82DE4" w:rsidRDefault="006E32D0" w:rsidP="006E32D0">
      <w:pPr>
        <w:pStyle w:val="Corpodeltesto"/>
        <w:rPr>
          <w:rFonts w:ascii="Verdana" w:hAnsi="Verdana"/>
          <w:sz w:val="22"/>
          <w:szCs w:val="22"/>
        </w:rPr>
      </w:pPr>
    </w:p>
    <w:p w14:paraId="50A81ED5" w14:textId="77777777" w:rsidR="006E32D0" w:rsidRPr="00E82DE4" w:rsidRDefault="006E32D0" w:rsidP="006E32D0">
      <w:pPr>
        <w:numPr>
          <w:ilvl w:val="0"/>
          <w:numId w:val="1"/>
        </w:numPr>
        <w:tabs>
          <w:tab w:val="left" w:pos="425"/>
        </w:tabs>
        <w:jc w:val="both"/>
        <w:rPr>
          <w:rFonts w:ascii="Verdana" w:hAnsi="Verdana"/>
          <w:b/>
          <w:sz w:val="22"/>
          <w:szCs w:val="22"/>
        </w:rPr>
      </w:pPr>
      <w:r w:rsidRPr="00E82DE4">
        <w:rPr>
          <w:rFonts w:ascii="Verdana" w:hAnsi="Verdana"/>
          <w:b/>
          <w:sz w:val="22"/>
          <w:szCs w:val="22"/>
        </w:rPr>
        <w:t>Attivazione del servizio</w:t>
      </w:r>
    </w:p>
    <w:p w14:paraId="5CB3AF90" w14:textId="77777777" w:rsidR="006E32D0" w:rsidRPr="00205112" w:rsidRDefault="006E32D0" w:rsidP="006E32D0">
      <w:pPr>
        <w:pStyle w:val="Corpodeltesto"/>
        <w:spacing w:before="120"/>
        <w:rPr>
          <w:rFonts w:ascii="Verdana" w:hAnsi="Verdana"/>
          <w:sz w:val="22"/>
          <w:szCs w:val="22"/>
        </w:rPr>
      </w:pPr>
      <w:bookmarkStart w:id="0" w:name="_Hlk180485796"/>
      <w:r w:rsidRPr="00205112">
        <w:rPr>
          <w:rFonts w:ascii="Verdana" w:hAnsi="Verdana"/>
          <w:sz w:val="22"/>
          <w:szCs w:val="22"/>
        </w:rPr>
        <w:t>L’attivazione del servizio è operata da Distribuzione entro 30 giorni dal perfezionamento del contratto. La suddetta attivazione è subordinata all’esito positivo dei controlli effettuati da Distribuzione sulla documentazione trasmessa.</w:t>
      </w:r>
    </w:p>
    <w:p w14:paraId="74630D83" w14:textId="77777777" w:rsidR="006E32D0" w:rsidRPr="00205112" w:rsidRDefault="006E32D0" w:rsidP="006E32D0">
      <w:pPr>
        <w:pStyle w:val="Corpodeltesto"/>
        <w:spacing w:before="120"/>
        <w:rPr>
          <w:rFonts w:ascii="Verdana" w:hAnsi="Verdana"/>
          <w:sz w:val="22"/>
          <w:szCs w:val="22"/>
        </w:rPr>
      </w:pPr>
      <w:r w:rsidRPr="00205112">
        <w:rPr>
          <w:rFonts w:ascii="Verdana" w:hAnsi="Verdana"/>
          <w:sz w:val="22"/>
          <w:szCs w:val="22"/>
        </w:rPr>
        <w:t xml:space="preserve">Contestualmente all’attivazione del servizio ciascun Richiedente riceve le credenziali per l’accesso al server NextCloud denominato “D.E.ME.TRA” in cui potrà consultare e scaricare i dati di misura oggetto del Servizio. </w:t>
      </w:r>
    </w:p>
    <w:bookmarkEnd w:id="0"/>
    <w:p w14:paraId="170A5181" w14:textId="77777777" w:rsidR="006E32D0" w:rsidRPr="005609A5" w:rsidRDefault="006E32D0" w:rsidP="006E32D0">
      <w:pPr>
        <w:pStyle w:val="Corpodeltesto"/>
        <w:spacing w:before="120"/>
        <w:rPr>
          <w:rFonts w:ascii="Verdana" w:hAnsi="Verdana"/>
          <w:sz w:val="22"/>
          <w:szCs w:val="22"/>
        </w:rPr>
      </w:pPr>
    </w:p>
    <w:p w14:paraId="01E57F89" w14:textId="77777777" w:rsidR="006E32D0" w:rsidRPr="005609A5" w:rsidRDefault="006E32D0" w:rsidP="006E32D0">
      <w:pPr>
        <w:numPr>
          <w:ilvl w:val="0"/>
          <w:numId w:val="1"/>
        </w:numPr>
        <w:tabs>
          <w:tab w:val="left" w:pos="425"/>
        </w:tabs>
        <w:jc w:val="both"/>
        <w:rPr>
          <w:rFonts w:ascii="Verdana" w:hAnsi="Verdana"/>
          <w:b/>
          <w:sz w:val="22"/>
          <w:szCs w:val="22"/>
        </w:rPr>
      </w:pPr>
      <w:r w:rsidRPr="005609A5">
        <w:rPr>
          <w:rFonts w:ascii="Verdana" w:hAnsi="Verdana"/>
          <w:b/>
          <w:sz w:val="22"/>
          <w:szCs w:val="22"/>
        </w:rPr>
        <w:t>Modalità di trattamento e consegna delle misure</w:t>
      </w:r>
    </w:p>
    <w:p w14:paraId="5C5A4AB0" w14:textId="77777777" w:rsidR="006E32D0" w:rsidRPr="005609A5" w:rsidRDefault="006E32D0" w:rsidP="006E32D0">
      <w:pPr>
        <w:tabs>
          <w:tab w:val="left" w:pos="425"/>
        </w:tabs>
        <w:jc w:val="both"/>
        <w:rPr>
          <w:rFonts w:ascii="Verdana" w:hAnsi="Verdana"/>
          <w:b/>
          <w:sz w:val="22"/>
          <w:szCs w:val="22"/>
        </w:rPr>
      </w:pPr>
    </w:p>
    <w:p w14:paraId="0EF02A51" w14:textId="77777777" w:rsidR="006E32D0" w:rsidRPr="005609A5" w:rsidRDefault="006E32D0" w:rsidP="006E32D0">
      <w:pPr>
        <w:tabs>
          <w:tab w:val="left" w:pos="425"/>
        </w:tabs>
        <w:jc w:val="both"/>
        <w:rPr>
          <w:rFonts w:ascii="Verdana" w:hAnsi="Verdana"/>
          <w:b/>
          <w:sz w:val="22"/>
          <w:szCs w:val="22"/>
        </w:rPr>
      </w:pPr>
      <w:r w:rsidRPr="005609A5">
        <w:rPr>
          <w:rFonts w:ascii="Verdana" w:hAnsi="Verdana"/>
          <w:b/>
          <w:sz w:val="22"/>
          <w:szCs w:val="22"/>
        </w:rPr>
        <w:t>3.1</w:t>
      </w:r>
      <w:r w:rsidRPr="005609A5">
        <w:rPr>
          <w:rFonts w:ascii="Verdana" w:hAnsi="Verdana"/>
          <w:b/>
          <w:sz w:val="22"/>
          <w:szCs w:val="22"/>
        </w:rPr>
        <w:tab/>
        <w:t xml:space="preserve"> Servizio mensile</w:t>
      </w:r>
    </w:p>
    <w:p w14:paraId="2E9430E1" w14:textId="77777777" w:rsidR="006E32D0" w:rsidRPr="005609A5" w:rsidRDefault="006E32D0" w:rsidP="006E32D0">
      <w:pPr>
        <w:tabs>
          <w:tab w:val="left" w:pos="425"/>
        </w:tabs>
        <w:spacing w:before="120"/>
        <w:jc w:val="both"/>
        <w:rPr>
          <w:rFonts w:ascii="Verdana" w:hAnsi="Verdana"/>
          <w:sz w:val="22"/>
          <w:szCs w:val="22"/>
        </w:rPr>
      </w:pPr>
      <w:r w:rsidRPr="005609A5">
        <w:rPr>
          <w:rFonts w:ascii="Verdana" w:hAnsi="Verdana"/>
          <w:sz w:val="22"/>
          <w:szCs w:val="22"/>
        </w:rPr>
        <w:t>Distribuzione provvede alla raccolta e messa a disposizione in modo aggregato in un unico ambiente informatico dei dati di energia attiva e reattiva misurati ogni quarto d’ora dei POD interessati dal Servizio. I dati sono scaricabili massivamente dal Richiedente.</w:t>
      </w:r>
    </w:p>
    <w:p w14:paraId="0623FE36" w14:textId="77777777" w:rsidR="006E32D0" w:rsidRPr="00E82DE4" w:rsidRDefault="006E32D0" w:rsidP="006E32D0">
      <w:pPr>
        <w:tabs>
          <w:tab w:val="left" w:pos="425"/>
        </w:tabs>
        <w:jc w:val="both"/>
        <w:rPr>
          <w:rFonts w:ascii="Verdana" w:hAnsi="Verdana"/>
          <w:b/>
          <w:sz w:val="22"/>
          <w:szCs w:val="22"/>
        </w:rPr>
      </w:pPr>
    </w:p>
    <w:p w14:paraId="2DDC0242" w14:textId="77777777" w:rsidR="006E32D0" w:rsidRPr="00E82DE4" w:rsidRDefault="006E32D0" w:rsidP="006E32D0">
      <w:pPr>
        <w:tabs>
          <w:tab w:val="left" w:pos="425"/>
        </w:tabs>
        <w:spacing w:before="120"/>
        <w:jc w:val="both"/>
        <w:rPr>
          <w:rFonts w:ascii="Verdana" w:hAnsi="Verdana"/>
          <w:b/>
          <w:sz w:val="22"/>
          <w:szCs w:val="22"/>
        </w:rPr>
      </w:pPr>
      <w:r w:rsidRPr="00E82DE4">
        <w:rPr>
          <w:rFonts w:ascii="Verdana" w:hAnsi="Verdana"/>
          <w:b/>
          <w:sz w:val="22"/>
          <w:szCs w:val="22"/>
        </w:rPr>
        <w:t>3.1.1 Gestione anomalie</w:t>
      </w:r>
    </w:p>
    <w:p w14:paraId="6C4F70FF" w14:textId="77777777" w:rsidR="006E32D0" w:rsidRPr="00E82DE4" w:rsidRDefault="006E32D0" w:rsidP="006E32D0">
      <w:pPr>
        <w:tabs>
          <w:tab w:val="left" w:pos="425"/>
        </w:tabs>
        <w:spacing w:before="120"/>
        <w:jc w:val="both"/>
        <w:rPr>
          <w:rFonts w:ascii="Verdana" w:hAnsi="Verdana"/>
          <w:sz w:val="22"/>
          <w:szCs w:val="22"/>
        </w:rPr>
      </w:pPr>
      <w:r w:rsidRPr="00E82DE4">
        <w:rPr>
          <w:rFonts w:ascii="Verdana" w:hAnsi="Verdana"/>
          <w:sz w:val="22"/>
          <w:szCs w:val="22"/>
        </w:rPr>
        <w:t>Distribuzione certifica la completezza e la qualità dei dati acquisiti, confrontando nelle fasce orarie l’energia complessiva elaborata dalle curve di carico con l’energia dei registri valorizzata dai totalizzatori. In caso di dati mancanti o errati, Distribuzione provvede automaticamente alla sostituzione dei dati errati e/o inserimento dei dati mancanti con il valore ottenuto dalla differenza tra l’energia di fascia del totalizzatore e l’energia di fascia corrispondente, ottenuta dalla somma dei singoli valori della curva (profilo) di carico. Distribuzione, in ogni caso, effettua la ricostruzione dei dati con le stesse modalità valide ai fini fiscali e di fatturazione del servizio di trasporto dell’energia.</w:t>
      </w:r>
    </w:p>
    <w:p w14:paraId="3EAECA5E" w14:textId="77777777" w:rsidR="006E32D0" w:rsidRPr="00E82DE4" w:rsidRDefault="006E32D0" w:rsidP="006E32D0">
      <w:pPr>
        <w:tabs>
          <w:tab w:val="left" w:pos="425"/>
        </w:tabs>
        <w:jc w:val="both"/>
        <w:rPr>
          <w:rFonts w:ascii="Verdana" w:hAnsi="Verdana"/>
          <w:sz w:val="22"/>
          <w:szCs w:val="22"/>
        </w:rPr>
      </w:pPr>
      <w:r w:rsidRPr="00E82DE4">
        <w:rPr>
          <w:rFonts w:ascii="Verdana" w:hAnsi="Verdana"/>
          <w:sz w:val="22"/>
          <w:szCs w:val="22"/>
        </w:rPr>
        <w:t>Nei casi in cui il sistema non effettui la telelettura, Distribuzione procede al ripristino del sistema o alla lettura manuale e alla valorizzazione dei dati eventualmente mancanti nei modi indicati al punto precedente.</w:t>
      </w:r>
    </w:p>
    <w:p w14:paraId="529648FF" w14:textId="77777777" w:rsidR="006E32D0" w:rsidRDefault="006E32D0" w:rsidP="006E32D0">
      <w:pPr>
        <w:pStyle w:val="Corpodeltesto"/>
        <w:tabs>
          <w:tab w:val="left" w:pos="425"/>
        </w:tabs>
        <w:rPr>
          <w:rFonts w:ascii="Verdana" w:hAnsi="Verdana"/>
          <w:sz w:val="22"/>
          <w:szCs w:val="22"/>
        </w:rPr>
      </w:pPr>
      <w:r w:rsidRPr="00E82DE4">
        <w:rPr>
          <w:rFonts w:ascii="Verdana" w:hAnsi="Verdana"/>
          <w:sz w:val="22"/>
          <w:szCs w:val="22"/>
        </w:rPr>
        <w:t>In caso di sostituzione del Gruppo di Misura, Distribuzione provvede alla ricostruzione della curva di carico; essa sarà composta dai dati relativi ai quarti d’ora rilevati nel periodo precedente la sostituzione, dai dati relativi ai quarti d’ora rilevati nel periodo successivo alla sostituzione, nonché dagli eventuali dati stimati relativi al periodo necessario alla sostituzione del contatore.</w:t>
      </w:r>
    </w:p>
    <w:p w14:paraId="142412A4" w14:textId="05F61DCA" w:rsidR="006E32D0" w:rsidRPr="00E82DE4" w:rsidRDefault="006E32D0" w:rsidP="006E32D0">
      <w:pPr>
        <w:pStyle w:val="Corpodeltesto"/>
        <w:tabs>
          <w:tab w:val="left" w:pos="425"/>
        </w:tabs>
        <w:rPr>
          <w:rFonts w:ascii="Verdana" w:hAnsi="Verdana"/>
          <w:sz w:val="22"/>
          <w:szCs w:val="22"/>
        </w:rPr>
      </w:pPr>
    </w:p>
    <w:p w14:paraId="46EBE536" w14:textId="77777777" w:rsidR="006E32D0" w:rsidRPr="00E82DE4" w:rsidRDefault="006E32D0" w:rsidP="006E32D0">
      <w:pPr>
        <w:tabs>
          <w:tab w:val="left" w:pos="425"/>
        </w:tabs>
        <w:jc w:val="both"/>
        <w:rPr>
          <w:rFonts w:ascii="Verdana" w:hAnsi="Verdana"/>
          <w:b/>
          <w:sz w:val="22"/>
          <w:szCs w:val="22"/>
        </w:rPr>
      </w:pPr>
      <w:r w:rsidRPr="00E82DE4">
        <w:rPr>
          <w:rFonts w:ascii="Verdana" w:hAnsi="Verdana"/>
          <w:b/>
          <w:sz w:val="22"/>
          <w:szCs w:val="22"/>
        </w:rPr>
        <w:t>3.1.2 Termini per la messa a disposizione dei dati</w:t>
      </w:r>
    </w:p>
    <w:p w14:paraId="62C514F8" w14:textId="6182E42F" w:rsidR="006E32D0" w:rsidRPr="00E82DE4" w:rsidRDefault="006E32D0" w:rsidP="006E32D0">
      <w:pPr>
        <w:tabs>
          <w:tab w:val="left" w:pos="425"/>
        </w:tabs>
        <w:spacing w:before="120"/>
        <w:jc w:val="both"/>
        <w:rPr>
          <w:rFonts w:ascii="Verdana" w:hAnsi="Verdana"/>
          <w:sz w:val="22"/>
          <w:szCs w:val="22"/>
        </w:rPr>
      </w:pPr>
      <w:r w:rsidRPr="408C6304">
        <w:rPr>
          <w:rFonts w:ascii="Verdana" w:hAnsi="Verdana"/>
          <w:sz w:val="22"/>
          <w:szCs w:val="22"/>
        </w:rPr>
        <w:t xml:space="preserve">Distribuzione rende disponibili i dati </w:t>
      </w:r>
      <w:r w:rsidRPr="00CA6F7E">
        <w:rPr>
          <w:rFonts w:ascii="Verdana" w:hAnsi="Verdana"/>
          <w:sz w:val="22"/>
          <w:szCs w:val="22"/>
        </w:rPr>
        <w:t xml:space="preserve">acquisiti dai GME/CEO/CE2G a regime relativi all’intero mese precedente non appena completata la verifica sulla completezza e qualità, o </w:t>
      </w:r>
      <w:r w:rsidRPr="000D2670">
        <w:rPr>
          <w:rFonts w:ascii="Verdana" w:hAnsi="Verdana"/>
          <w:sz w:val="22"/>
          <w:szCs w:val="22"/>
        </w:rPr>
        <w:t xml:space="preserve">comunque al massimo entro il 5° giorno del mese successivo a quello cui i </w:t>
      </w:r>
      <w:r w:rsidRPr="000D2670">
        <w:rPr>
          <w:rFonts w:ascii="Verdana" w:hAnsi="Verdana"/>
          <w:sz w:val="22"/>
          <w:szCs w:val="22"/>
        </w:rPr>
        <w:lastRenderedPageBreak/>
        <w:t>dati si riferiscono</w:t>
      </w:r>
      <w:r w:rsidRPr="00CA6F7E">
        <w:rPr>
          <w:rFonts w:ascii="Verdana" w:hAnsi="Verdana"/>
          <w:sz w:val="22"/>
          <w:szCs w:val="22"/>
        </w:rPr>
        <w:t>. I giorni si intendono giorni lavorativi del mese successivo a quello cui si riferiscono i dati.</w:t>
      </w:r>
    </w:p>
    <w:p w14:paraId="3DC24B74" w14:textId="77777777" w:rsidR="006E32D0" w:rsidRDefault="006E32D0" w:rsidP="006E32D0">
      <w:pPr>
        <w:tabs>
          <w:tab w:val="left" w:pos="425"/>
        </w:tabs>
        <w:spacing w:before="120"/>
        <w:jc w:val="both"/>
        <w:rPr>
          <w:rFonts w:ascii="Verdana" w:hAnsi="Verdana"/>
          <w:sz w:val="22"/>
          <w:szCs w:val="22"/>
        </w:rPr>
      </w:pPr>
      <w:r w:rsidRPr="65A89216">
        <w:rPr>
          <w:rFonts w:ascii="Verdana" w:hAnsi="Verdana"/>
          <w:sz w:val="22"/>
          <w:szCs w:val="22"/>
        </w:rPr>
        <w:t>I dati verranno messi a disposizione attraverso il server NextCloud denominato “D.E.ME.TRA”.</w:t>
      </w:r>
    </w:p>
    <w:p w14:paraId="61D5876A" w14:textId="77777777" w:rsidR="006E32D0" w:rsidRDefault="006E32D0" w:rsidP="006E32D0">
      <w:pPr>
        <w:tabs>
          <w:tab w:val="left" w:pos="425"/>
        </w:tabs>
        <w:jc w:val="both"/>
        <w:rPr>
          <w:rFonts w:ascii="Verdana" w:hAnsi="Verdana"/>
          <w:b/>
          <w:sz w:val="22"/>
          <w:szCs w:val="22"/>
        </w:rPr>
      </w:pPr>
    </w:p>
    <w:p w14:paraId="57B8EB63" w14:textId="77777777" w:rsidR="006E32D0" w:rsidRPr="00CA6F7E" w:rsidRDefault="006E32D0" w:rsidP="006E32D0">
      <w:pPr>
        <w:tabs>
          <w:tab w:val="left" w:pos="425"/>
        </w:tabs>
        <w:jc w:val="both"/>
        <w:rPr>
          <w:rFonts w:ascii="Verdana" w:hAnsi="Verdana"/>
          <w:b/>
          <w:sz w:val="22"/>
          <w:szCs w:val="22"/>
        </w:rPr>
      </w:pPr>
    </w:p>
    <w:p w14:paraId="6C2B14CC" w14:textId="77777777" w:rsidR="006E32D0" w:rsidRPr="00CA6F7E" w:rsidRDefault="006E32D0" w:rsidP="006E32D0">
      <w:pPr>
        <w:tabs>
          <w:tab w:val="left" w:pos="425"/>
        </w:tabs>
        <w:jc w:val="both"/>
        <w:rPr>
          <w:rFonts w:ascii="Verdana" w:hAnsi="Verdana"/>
          <w:b/>
          <w:sz w:val="22"/>
          <w:szCs w:val="22"/>
        </w:rPr>
      </w:pPr>
      <w:r w:rsidRPr="00CA6F7E">
        <w:rPr>
          <w:rFonts w:ascii="Verdana" w:hAnsi="Verdana"/>
          <w:b/>
          <w:sz w:val="22"/>
          <w:szCs w:val="22"/>
        </w:rPr>
        <w:t>3.2 Servizio giornaliero</w:t>
      </w:r>
    </w:p>
    <w:p w14:paraId="4BC9BC29" w14:textId="77777777" w:rsidR="006E32D0" w:rsidRPr="00CA6F7E" w:rsidRDefault="006E32D0" w:rsidP="006E32D0">
      <w:pPr>
        <w:spacing w:before="120"/>
        <w:jc w:val="both"/>
        <w:rPr>
          <w:rFonts w:ascii="Verdana" w:hAnsi="Verdana"/>
          <w:sz w:val="22"/>
          <w:szCs w:val="22"/>
        </w:rPr>
      </w:pPr>
      <w:r w:rsidRPr="00CA6F7E">
        <w:rPr>
          <w:rFonts w:ascii="Verdana" w:hAnsi="Verdana"/>
          <w:sz w:val="22"/>
          <w:szCs w:val="22"/>
        </w:rPr>
        <w:t>Distribuzione provvede alla raccolta e messa a disposizione in modo aggregato in un unico ambiente informatico dei dati di energia attiva e reattiva misurati ogni quarto d’ora, acquisiti dai soli misuratori idonei (GME/CE2G a regime) e relativi al giorno precedente dei POD interessati dal Servizio. I dati sono scaricabili massivamente dal Richiedente. I dati del servizio giornaliero non sono certificati.</w:t>
      </w:r>
    </w:p>
    <w:p w14:paraId="15445A06" w14:textId="77777777" w:rsidR="006E32D0" w:rsidRPr="00CA6F7E" w:rsidRDefault="006E32D0" w:rsidP="006E32D0">
      <w:pPr>
        <w:tabs>
          <w:tab w:val="left" w:pos="425"/>
        </w:tabs>
        <w:spacing w:before="120"/>
        <w:jc w:val="both"/>
        <w:rPr>
          <w:rFonts w:ascii="Verdana" w:hAnsi="Verdana"/>
          <w:b/>
          <w:sz w:val="22"/>
          <w:szCs w:val="22"/>
        </w:rPr>
      </w:pPr>
    </w:p>
    <w:p w14:paraId="7A3E4595" w14:textId="77777777" w:rsidR="006E32D0" w:rsidRPr="00CA6F7E" w:rsidRDefault="006E32D0" w:rsidP="006E32D0">
      <w:pPr>
        <w:tabs>
          <w:tab w:val="left" w:pos="425"/>
        </w:tabs>
        <w:spacing w:before="120"/>
        <w:jc w:val="both"/>
        <w:rPr>
          <w:rFonts w:ascii="Verdana" w:hAnsi="Verdana"/>
          <w:b/>
          <w:sz w:val="22"/>
          <w:szCs w:val="22"/>
        </w:rPr>
      </w:pPr>
      <w:r w:rsidRPr="00CA6F7E">
        <w:rPr>
          <w:rFonts w:ascii="Verdana" w:hAnsi="Verdana"/>
          <w:b/>
          <w:sz w:val="22"/>
          <w:szCs w:val="22"/>
        </w:rPr>
        <w:t>3.2.1 Termini per la messa a disposizione dei dati e qualità del servizio</w:t>
      </w:r>
    </w:p>
    <w:p w14:paraId="4200682E" w14:textId="77777777" w:rsidR="006E32D0" w:rsidRPr="00E82DE4" w:rsidRDefault="006E32D0" w:rsidP="006E32D0">
      <w:pPr>
        <w:tabs>
          <w:tab w:val="left" w:pos="425"/>
        </w:tabs>
        <w:spacing w:before="120"/>
        <w:jc w:val="both"/>
        <w:rPr>
          <w:rFonts w:ascii="Verdana" w:hAnsi="Verdana"/>
          <w:sz w:val="22"/>
          <w:szCs w:val="22"/>
        </w:rPr>
      </w:pPr>
      <w:r w:rsidRPr="00CA6F7E">
        <w:rPr>
          <w:rFonts w:ascii="Verdana" w:hAnsi="Verdana"/>
          <w:sz w:val="22"/>
          <w:szCs w:val="22"/>
        </w:rPr>
        <w:t xml:space="preserve">Distribuzione rende disponibili i dati di almeno l’85% dei gruppi di misura per i quali deve essere erogato </w:t>
      </w:r>
      <w:r w:rsidRPr="408C6304">
        <w:rPr>
          <w:rFonts w:ascii="Verdana" w:hAnsi="Verdana"/>
          <w:sz w:val="22"/>
          <w:szCs w:val="22"/>
        </w:rPr>
        <w:t xml:space="preserve">il servizio giornaliero, entro le ore 16.00 del giorno lavorativo successivo. Per i dati che entro tale termine non siano stati messi a disposizione del </w:t>
      </w:r>
      <w:r w:rsidRPr="00E30C63">
        <w:rPr>
          <w:rFonts w:ascii="Verdana" w:hAnsi="Verdana"/>
          <w:sz w:val="22"/>
          <w:szCs w:val="22"/>
        </w:rPr>
        <w:t>Richiedente</w:t>
      </w:r>
      <w:r w:rsidRPr="408C6304">
        <w:rPr>
          <w:rFonts w:ascii="Verdana" w:hAnsi="Verdana"/>
          <w:sz w:val="22"/>
          <w:szCs w:val="22"/>
        </w:rPr>
        <w:t xml:space="preserve"> non vengono previsti ulteriori recuperi.</w:t>
      </w:r>
    </w:p>
    <w:p w14:paraId="24A97AB7" w14:textId="77777777" w:rsidR="006E32D0" w:rsidRDefault="006E32D0" w:rsidP="006E32D0">
      <w:pPr>
        <w:tabs>
          <w:tab w:val="left" w:pos="425"/>
        </w:tabs>
        <w:spacing w:before="120"/>
        <w:jc w:val="both"/>
        <w:rPr>
          <w:rFonts w:ascii="Verdana" w:hAnsi="Verdana"/>
          <w:sz w:val="22"/>
          <w:szCs w:val="22"/>
        </w:rPr>
      </w:pPr>
      <w:r w:rsidRPr="3841FB06">
        <w:rPr>
          <w:rFonts w:ascii="Verdana" w:hAnsi="Verdana"/>
          <w:sz w:val="22"/>
          <w:szCs w:val="22"/>
        </w:rPr>
        <w:t>I dati verranno messi a disposizione attraverso il server</w:t>
      </w:r>
      <w:r>
        <w:rPr>
          <w:rFonts w:ascii="Verdana" w:hAnsi="Verdana"/>
          <w:sz w:val="22"/>
          <w:szCs w:val="22"/>
        </w:rPr>
        <w:t xml:space="preserve"> </w:t>
      </w:r>
      <w:r w:rsidRPr="3841FB06">
        <w:rPr>
          <w:rFonts w:ascii="Verdana" w:hAnsi="Verdana"/>
          <w:sz w:val="22"/>
          <w:szCs w:val="22"/>
        </w:rPr>
        <w:t>NextCloud denominato “D.E.ME.TRA”.</w:t>
      </w:r>
    </w:p>
    <w:p w14:paraId="0A1EFEF5" w14:textId="1F408639" w:rsidR="006E32D0" w:rsidRDefault="006E32D0" w:rsidP="006E32D0">
      <w:pPr>
        <w:rPr>
          <w:rFonts w:ascii="Verdana" w:hAnsi="Verdana"/>
          <w:sz w:val="18"/>
          <w:szCs w:val="18"/>
        </w:rPr>
      </w:pPr>
    </w:p>
    <w:sectPr w:rsidR="006E32D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BEF4E" w14:textId="77777777" w:rsidR="004D0095" w:rsidRDefault="004D0095" w:rsidP="006E32D0">
      <w:r>
        <w:separator/>
      </w:r>
    </w:p>
  </w:endnote>
  <w:endnote w:type="continuationSeparator" w:id="0">
    <w:p w14:paraId="2840F367" w14:textId="77777777" w:rsidR="004D0095" w:rsidRDefault="004D0095" w:rsidP="006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38FFF" w14:textId="77777777" w:rsidR="00E30BAC" w:rsidRDefault="00E30B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019105"/>
      <w:docPartObj>
        <w:docPartGallery w:val="Page Numbers (Bottom of Page)"/>
        <w:docPartUnique/>
      </w:docPartObj>
    </w:sdtPr>
    <w:sdtEndPr/>
    <w:sdtContent>
      <w:p w14:paraId="11C99BC1" w14:textId="2EF1607E" w:rsidR="00494C0F" w:rsidRDefault="00494C0F">
        <w:pPr>
          <w:pStyle w:val="Pidipagina"/>
        </w:pPr>
        <w:r>
          <w:fldChar w:fldCharType="begin"/>
        </w:r>
        <w:r>
          <w:instrText>PAGE   \* MERGEFORMAT</w:instrText>
        </w:r>
        <w:r>
          <w:fldChar w:fldCharType="separate"/>
        </w:r>
        <w:r>
          <w:t>2</w:t>
        </w:r>
        <w:r>
          <w:fldChar w:fldCharType="end"/>
        </w:r>
        <w:r>
          <w:t xml:space="preserve">                                                                  Allegato 1_</w:t>
        </w:r>
        <w:r>
          <w:rPr>
            <w:sz w:val="18"/>
            <w:szCs w:val="18"/>
          </w:rPr>
          <w:t>Contratto aggregazione e consegna dati misura - ver. 01_12_2024</w:t>
        </w:r>
        <w:r w:rsidRPr="00160C74">
          <w:rPr>
            <w:rFonts w:ascii="Verdana" w:hAnsi="Verdana"/>
            <w:sz w:val="13"/>
          </w:rPr>
          <w:t xml:space="preserve">                                                                                                               </w:t>
        </w:r>
      </w:p>
    </w:sdtContent>
  </w:sdt>
  <w:p w14:paraId="4E4969A2" w14:textId="77777777" w:rsidR="00494C0F" w:rsidRDefault="00494C0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235C" w14:textId="77777777" w:rsidR="00E30BAC" w:rsidRDefault="00E30B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FABEE" w14:textId="77777777" w:rsidR="004D0095" w:rsidRDefault="004D0095" w:rsidP="006E32D0">
      <w:r>
        <w:separator/>
      </w:r>
    </w:p>
  </w:footnote>
  <w:footnote w:type="continuationSeparator" w:id="0">
    <w:p w14:paraId="3E48DA5C" w14:textId="77777777" w:rsidR="004D0095" w:rsidRDefault="004D0095" w:rsidP="006E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37619" w14:textId="77777777" w:rsidR="00E30BAC" w:rsidRDefault="00E30B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1251" w14:textId="43AB25D8" w:rsidR="006E32D0" w:rsidRDefault="006E32D0">
    <w:pPr>
      <w:pStyle w:val="Intestazione"/>
    </w:pPr>
    <w:r>
      <w:rPr>
        <w:rFonts w:ascii="Calibri" w:hAnsi="Calibri" w:cs="Calibri"/>
        <w:noProof/>
        <w:color w:val="1F497D"/>
        <w:sz w:val="22"/>
        <w:szCs w:val="22"/>
        <w:lang w:val="en-US" w:eastAsia="en-US"/>
      </w:rPr>
      <w:drawing>
        <wp:inline distT="0" distB="0" distL="0" distR="0" wp14:anchorId="20A1999A" wp14:editId="728E6CD4">
          <wp:extent cx="1905000" cy="228600"/>
          <wp:effectExtent l="0" t="0" r="0" b="0"/>
          <wp:docPr id="8" name="Immagine 8" descr="cid:image001.png@01D1D7AB.32FF3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png@01D1D7AB.32FF32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228600"/>
                  </a:xfrm>
                  <a:prstGeom prst="rect">
                    <a:avLst/>
                  </a:prstGeom>
                  <a:noFill/>
                  <a:ln>
                    <a:noFill/>
                  </a:ln>
                </pic:spPr>
              </pic:pic>
            </a:graphicData>
          </a:graphic>
        </wp:inline>
      </w:drawing>
    </w:r>
  </w:p>
  <w:p w14:paraId="520A79CB" w14:textId="77777777" w:rsidR="006E32D0" w:rsidRDefault="006E32D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AA28" w14:textId="77777777" w:rsidR="00E30BAC" w:rsidRDefault="00E30B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47FD"/>
    <w:multiLevelType w:val="hybridMultilevel"/>
    <w:tmpl w:val="600285BE"/>
    <w:lvl w:ilvl="0" w:tplc="E1622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927FF1"/>
    <w:multiLevelType w:val="hybridMultilevel"/>
    <w:tmpl w:val="294A72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5C532E"/>
    <w:multiLevelType w:val="hybridMultilevel"/>
    <w:tmpl w:val="99304A64"/>
    <w:lvl w:ilvl="0" w:tplc="04100017">
      <w:start w:val="1"/>
      <w:numFmt w:val="lowerLetter"/>
      <w:lvlText w:val="%1)"/>
      <w:lvlJc w:val="left"/>
      <w:pPr>
        <w:ind w:left="1080" w:hanging="720"/>
      </w:pPr>
      <w:rPr>
        <w:rFonts w:hint="default"/>
        <w:b w:val="0"/>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C66A49"/>
    <w:multiLevelType w:val="hybridMultilevel"/>
    <w:tmpl w:val="0414DE76"/>
    <w:lvl w:ilvl="0" w:tplc="E1622E5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7CD6EA2"/>
    <w:multiLevelType w:val="hybridMultilevel"/>
    <w:tmpl w:val="E6723FBA"/>
    <w:lvl w:ilvl="0" w:tplc="E1622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E70E3"/>
    <w:multiLevelType w:val="hybridMultilevel"/>
    <w:tmpl w:val="DE4462EC"/>
    <w:lvl w:ilvl="0" w:tplc="E1622E54">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 w15:restartNumberingAfterBreak="0">
    <w:nsid w:val="4CBD36B3"/>
    <w:multiLevelType w:val="hybridMultilevel"/>
    <w:tmpl w:val="31329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E82B9C"/>
    <w:multiLevelType w:val="multilevel"/>
    <w:tmpl w:val="5420DB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58AB4FAF"/>
    <w:multiLevelType w:val="hybridMultilevel"/>
    <w:tmpl w:val="AA9836E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CB262D4"/>
    <w:multiLevelType w:val="hybridMultilevel"/>
    <w:tmpl w:val="1F205CB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0" w15:restartNumberingAfterBreak="0">
    <w:nsid w:val="7BA6752B"/>
    <w:multiLevelType w:val="hybridMultilevel"/>
    <w:tmpl w:val="C6181404"/>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7F4425F6"/>
    <w:multiLevelType w:val="hybridMultilevel"/>
    <w:tmpl w:val="D88053FC"/>
    <w:lvl w:ilvl="0" w:tplc="8B6C4934">
      <w:start w:val="1"/>
      <w:numFmt w:val="decimal"/>
      <w:lvlText w:val="(%1)"/>
      <w:lvlJc w:val="left"/>
      <w:pPr>
        <w:ind w:left="370" w:hanging="360"/>
      </w:pPr>
      <w:rPr>
        <w:rFonts w:hint="default"/>
      </w:rPr>
    </w:lvl>
    <w:lvl w:ilvl="1" w:tplc="04100019" w:tentative="1">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num w:numId="1" w16cid:durableId="1902211667">
    <w:abstractNumId w:val="7"/>
  </w:num>
  <w:num w:numId="2" w16cid:durableId="1286306443">
    <w:abstractNumId w:val="0"/>
  </w:num>
  <w:num w:numId="3" w16cid:durableId="1501502128">
    <w:abstractNumId w:val="10"/>
  </w:num>
  <w:num w:numId="4" w16cid:durableId="120460955">
    <w:abstractNumId w:val="11"/>
  </w:num>
  <w:num w:numId="5" w16cid:durableId="1084687961">
    <w:abstractNumId w:val="9"/>
  </w:num>
  <w:num w:numId="6" w16cid:durableId="778453626">
    <w:abstractNumId w:val="5"/>
  </w:num>
  <w:num w:numId="7" w16cid:durableId="703409815">
    <w:abstractNumId w:val="4"/>
  </w:num>
  <w:num w:numId="8" w16cid:durableId="2054226963">
    <w:abstractNumId w:val="1"/>
  </w:num>
  <w:num w:numId="9" w16cid:durableId="1892764632">
    <w:abstractNumId w:val="8"/>
  </w:num>
  <w:num w:numId="10" w16cid:durableId="1081220467">
    <w:abstractNumId w:val="2"/>
  </w:num>
  <w:num w:numId="11" w16cid:durableId="205872759">
    <w:abstractNumId w:val="6"/>
  </w:num>
  <w:num w:numId="12" w16cid:durableId="796459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enforcement="1" w:cryptProviderType="rsaAES" w:cryptAlgorithmClass="hash" w:cryptAlgorithmType="typeAny" w:cryptAlgorithmSid="14" w:cryptSpinCount="100000" w:hash="UG9uTEKFK1k1JmkICI/XOU33NqSfc2GpyN8bOb8377PR2oJ1B3jxEolDGjLQbpSlxiu9C2ZpNmYzIWyN7CZ6qg==" w:salt="s7EGQkWBLLKBs/iOetjhd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D0"/>
    <w:rsid w:val="000935A8"/>
    <w:rsid w:val="001B78D7"/>
    <w:rsid w:val="00346667"/>
    <w:rsid w:val="003D2589"/>
    <w:rsid w:val="004216B1"/>
    <w:rsid w:val="00494C0F"/>
    <w:rsid w:val="004D0095"/>
    <w:rsid w:val="00560611"/>
    <w:rsid w:val="006E32D0"/>
    <w:rsid w:val="00766022"/>
    <w:rsid w:val="007C569C"/>
    <w:rsid w:val="008D59FC"/>
    <w:rsid w:val="009C5C74"/>
    <w:rsid w:val="00A545C4"/>
    <w:rsid w:val="00A7707E"/>
    <w:rsid w:val="00C05DC5"/>
    <w:rsid w:val="00E30BAC"/>
    <w:rsid w:val="00F162C2"/>
    <w:rsid w:val="00FA5F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8654"/>
  <w15:chartTrackingRefBased/>
  <w15:docId w15:val="{05D2F4FA-CFE7-4DFA-9288-BCE5DD23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32D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6E32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E32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E32D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E32D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E32D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E32D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E32D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nhideWhenUsed/>
    <w:qFormat/>
    <w:rsid w:val="006E32D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E32D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E32D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E32D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E32D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E32D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E32D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E32D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E32D0"/>
    <w:rPr>
      <w:rFonts w:eastAsiaTheme="majorEastAsia" w:cstheme="majorBidi"/>
      <w:color w:val="595959" w:themeColor="text1" w:themeTint="A6"/>
    </w:rPr>
  </w:style>
  <w:style w:type="character" w:customStyle="1" w:styleId="Titolo8Carattere">
    <w:name w:val="Titolo 8 Carattere"/>
    <w:basedOn w:val="Carpredefinitoparagrafo"/>
    <w:link w:val="Titolo8"/>
    <w:rsid w:val="006E32D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E32D0"/>
    <w:rPr>
      <w:rFonts w:eastAsiaTheme="majorEastAsia" w:cstheme="majorBidi"/>
      <w:color w:val="272727" w:themeColor="text1" w:themeTint="D8"/>
    </w:rPr>
  </w:style>
  <w:style w:type="paragraph" w:styleId="Titolo">
    <w:name w:val="Title"/>
    <w:basedOn w:val="Normale"/>
    <w:next w:val="Normale"/>
    <w:link w:val="TitoloCarattere"/>
    <w:uiPriority w:val="10"/>
    <w:qFormat/>
    <w:rsid w:val="006E32D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32D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E32D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E32D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E32D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E32D0"/>
    <w:rPr>
      <w:i/>
      <w:iCs/>
      <w:color w:val="404040" w:themeColor="text1" w:themeTint="BF"/>
    </w:rPr>
  </w:style>
  <w:style w:type="paragraph" w:styleId="Paragrafoelenco">
    <w:name w:val="List Paragraph"/>
    <w:basedOn w:val="Normale"/>
    <w:uiPriority w:val="34"/>
    <w:qFormat/>
    <w:rsid w:val="006E32D0"/>
    <w:pPr>
      <w:ind w:left="720"/>
      <w:contextualSpacing/>
    </w:pPr>
  </w:style>
  <w:style w:type="character" w:styleId="Enfasiintensa">
    <w:name w:val="Intense Emphasis"/>
    <w:basedOn w:val="Carpredefinitoparagrafo"/>
    <w:uiPriority w:val="21"/>
    <w:qFormat/>
    <w:rsid w:val="006E32D0"/>
    <w:rPr>
      <w:i/>
      <w:iCs/>
      <w:color w:val="2F5496" w:themeColor="accent1" w:themeShade="BF"/>
    </w:rPr>
  </w:style>
  <w:style w:type="paragraph" w:styleId="Citazioneintensa">
    <w:name w:val="Intense Quote"/>
    <w:basedOn w:val="Normale"/>
    <w:next w:val="Normale"/>
    <w:link w:val="CitazioneintensaCarattere"/>
    <w:uiPriority w:val="30"/>
    <w:qFormat/>
    <w:rsid w:val="006E3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E32D0"/>
    <w:rPr>
      <w:i/>
      <w:iCs/>
      <w:color w:val="2F5496" w:themeColor="accent1" w:themeShade="BF"/>
    </w:rPr>
  </w:style>
  <w:style w:type="character" w:styleId="Riferimentointenso">
    <w:name w:val="Intense Reference"/>
    <w:basedOn w:val="Carpredefinitoparagrafo"/>
    <w:uiPriority w:val="32"/>
    <w:qFormat/>
    <w:rsid w:val="006E32D0"/>
    <w:rPr>
      <w:b/>
      <w:bCs/>
      <w:smallCaps/>
      <w:color w:val="2F5496" w:themeColor="accent1" w:themeShade="BF"/>
      <w:spacing w:val="5"/>
    </w:rPr>
  </w:style>
  <w:style w:type="paragraph" w:styleId="Intestazione">
    <w:name w:val="header"/>
    <w:basedOn w:val="Normale"/>
    <w:link w:val="IntestazioneCarattere"/>
    <w:uiPriority w:val="99"/>
    <w:unhideWhenUsed/>
    <w:rsid w:val="006E32D0"/>
    <w:pPr>
      <w:tabs>
        <w:tab w:val="center" w:pos="4819"/>
        <w:tab w:val="right" w:pos="9638"/>
      </w:tabs>
    </w:pPr>
  </w:style>
  <w:style w:type="character" w:customStyle="1" w:styleId="IntestazioneCarattere">
    <w:name w:val="Intestazione Carattere"/>
    <w:basedOn w:val="Carpredefinitoparagrafo"/>
    <w:link w:val="Intestazione"/>
    <w:uiPriority w:val="99"/>
    <w:rsid w:val="006E32D0"/>
  </w:style>
  <w:style w:type="paragraph" w:styleId="Pidipagina">
    <w:name w:val="footer"/>
    <w:basedOn w:val="Normale"/>
    <w:link w:val="PidipaginaCarattere"/>
    <w:uiPriority w:val="99"/>
    <w:unhideWhenUsed/>
    <w:rsid w:val="006E32D0"/>
    <w:pPr>
      <w:tabs>
        <w:tab w:val="center" w:pos="4819"/>
        <w:tab w:val="right" w:pos="9638"/>
      </w:tabs>
    </w:pPr>
  </w:style>
  <w:style w:type="character" w:customStyle="1" w:styleId="PidipaginaCarattere">
    <w:name w:val="Piè di pagina Carattere"/>
    <w:basedOn w:val="Carpredefinitoparagrafo"/>
    <w:link w:val="Pidipagina"/>
    <w:uiPriority w:val="99"/>
    <w:rsid w:val="006E32D0"/>
  </w:style>
  <w:style w:type="paragraph" w:styleId="Corpodeltesto3">
    <w:name w:val="Body Text 3"/>
    <w:basedOn w:val="Normale"/>
    <w:link w:val="Corpodeltesto3Carattere"/>
    <w:rsid w:val="006E32D0"/>
    <w:pPr>
      <w:spacing w:after="120"/>
    </w:pPr>
    <w:rPr>
      <w:sz w:val="16"/>
      <w:szCs w:val="16"/>
    </w:rPr>
  </w:style>
  <w:style w:type="character" w:customStyle="1" w:styleId="Corpodeltesto3Carattere">
    <w:name w:val="Corpo del testo 3 Carattere"/>
    <w:basedOn w:val="Carpredefinitoparagrafo"/>
    <w:link w:val="Corpodeltesto3"/>
    <w:rsid w:val="006E32D0"/>
    <w:rPr>
      <w:rFonts w:ascii="Times New Roman" w:eastAsia="Times New Roman" w:hAnsi="Times New Roman" w:cs="Times New Roman"/>
      <w:sz w:val="16"/>
      <w:szCs w:val="16"/>
      <w:lang w:eastAsia="it-IT"/>
    </w:rPr>
  </w:style>
  <w:style w:type="paragraph" w:styleId="Testocommento">
    <w:name w:val="annotation text"/>
    <w:basedOn w:val="Normale"/>
    <w:link w:val="TestocommentoCarattere"/>
    <w:uiPriority w:val="99"/>
    <w:rsid w:val="006E32D0"/>
  </w:style>
  <w:style w:type="character" w:customStyle="1" w:styleId="TestocommentoCarattere">
    <w:name w:val="Testo commento Carattere"/>
    <w:basedOn w:val="Carpredefinitoparagrafo"/>
    <w:link w:val="Testocommento"/>
    <w:uiPriority w:val="99"/>
    <w:rsid w:val="006E32D0"/>
    <w:rPr>
      <w:rFonts w:ascii="Times New Roman" w:eastAsia="Times New Roman" w:hAnsi="Times New Roman" w:cs="Times New Roman"/>
      <w:sz w:val="20"/>
      <w:szCs w:val="20"/>
      <w:lang w:eastAsia="it-IT"/>
    </w:rPr>
  </w:style>
  <w:style w:type="paragraph" w:customStyle="1" w:styleId="Corpodeltesto">
    <w:name w:val="Corpo del testo"/>
    <w:basedOn w:val="Normale"/>
    <w:rsid w:val="006E32D0"/>
    <w:pPr>
      <w:jc w:val="both"/>
    </w:pPr>
    <w:rPr>
      <w:sz w:val="23"/>
    </w:rPr>
  </w:style>
  <w:style w:type="character" w:styleId="Rimandocommento">
    <w:name w:val="annotation reference"/>
    <w:basedOn w:val="Carpredefinitoparagrafo"/>
    <w:uiPriority w:val="99"/>
    <w:semiHidden/>
    <w:unhideWhenUsed/>
    <w:rsid w:val="006E32D0"/>
    <w:rPr>
      <w:sz w:val="16"/>
      <w:szCs w:val="16"/>
    </w:rPr>
  </w:style>
  <w:style w:type="character" w:styleId="Menzione">
    <w:name w:val="Mention"/>
    <w:basedOn w:val="Carpredefinitoparagrafo"/>
    <w:uiPriority w:val="99"/>
    <w:unhideWhenUsed/>
    <w:rsid w:val="006E32D0"/>
    <w:rPr>
      <w:color w:val="2B579A"/>
      <w:shd w:val="clear" w:color="auto" w:fill="E1DFDD"/>
    </w:rPr>
  </w:style>
  <w:style w:type="table" w:styleId="Grigliatabella">
    <w:name w:val="Table Grid"/>
    <w:basedOn w:val="Tabellanormale"/>
    <w:rsid w:val="006E32D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6E32D0"/>
    <w:rPr>
      <w:color w:val="0000FF"/>
      <w:u w:val="single"/>
    </w:rPr>
  </w:style>
  <w:style w:type="paragraph" w:customStyle="1" w:styleId="Default">
    <w:name w:val="Default"/>
    <w:rsid w:val="006E32D0"/>
    <w:pPr>
      <w:autoSpaceDE w:val="0"/>
      <w:autoSpaceDN w:val="0"/>
      <w:adjustRightInd w:val="0"/>
      <w:spacing w:after="0" w:line="240" w:lineRule="auto"/>
    </w:pPr>
    <w:rPr>
      <w:rFonts w:ascii="Calibri" w:eastAsia="Times New Roman" w:hAnsi="Calibri" w:cs="Calibri"/>
      <w:color w:val="000000"/>
      <w:sz w:val="24"/>
      <w:szCs w:val="24"/>
      <w:lang w:eastAsia="it-IT"/>
    </w:rPr>
  </w:style>
  <w:style w:type="table" w:customStyle="1" w:styleId="TableGrid0">
    <w:name w:val="Table Grid0"/>
    <w:rsid w:val="006E32D0"/>
    <w:pPr>
      <w:spacing w:after="0" w:line="240" w:lineRule="auto"/>
    </w:pPr>
    <w:rPr>
      <w:rFonts w:eastAsiaTheme="minorEastAsia"/>
      <w:lang w:eastAsia="it-IT"/>
    </w:r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6E32D0"/>
    <w:rPr>
      <w:rFonts w:asciiTheme="minorHAnsi" w:eastAsiaTheme="minorHAnsi" w:hAnsiTheme="minorHAnsi" w:cstheme="minorBidi"/>
      <w:kern w:val="2"/>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6E32D0"/>
    <w:rPr>
      <w:kern w:val="2"/>
      <w:sz w:val="20"/>
      <w:szCs w:val="20"/>
      <w14:ligatures w14:val="standardContextual"/>
    </w:rPr>
  </w:style>
  <w:style w:type="character" w:styleId="Rimandonotaapidipagina">
    <w:name w:val="footnote reference"/>
    <w:basedOn w:val="Carpredefinitoparagrafo"/>
    <w:uiPriority w:val="99"/>
    <w:semiHidden/>
    <w:unhideWhenUsed/>
    <w:rsid w:val="006E32D0"/>
    <w:rPr>
      <w:vertAlign w:val="superscript"/>
    </w:rPr>
  </w:style>
  <w:style w:type="character" w:styleId="Testosegnaposto">
    <w:name w:val="Placeholder Text"/>
    <w:basedOn w:val="Carpredefinitoparagrafo"/>
    <w:uiPriority w:val="99"/>
    <w:semiHidden/>
    <w:rsid w:val="006E32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1D7AB.32FF32E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C5179-DBAE-47C7-9B12-EF9BB5C7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584</Words>
  <Characters>3334</Characters>
  <Application>Microsoft Office Word</Application>
  <DocSecurity>8</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Arcioni Stefania (Grids IT CRE)</dc:creator>
  <cp:keywords/>
  <dc:description/>
  <cp:lastModifiedBy>Arcioni Stefania (Grids IT CRE)</cp:lastModifiedBy>
  <cp:revision>11</cp:revision>
  <dcterms:created xsi:type="dcterms:W3CDTF">2024-10-22T09:31:00Z</dcterms:created>
  <dcterms:modified xsi:type="dcterms:W3CDTF">2024-10-22T12:58:00Z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84f6bf-f638-41cc-935f-2157ddac8142_Enabled">
    <vt:lpwstr>true</vt:lpwstr>
  </property>
  <property fmtid="{D5CDD505-2E9C-101B-9397-08002B2CF9AE}" pid="3" name="MSIP_Label_b284f6bf-f638-41cc-935f-2157ddac8142_SetDate">
    <vt:lpwstr>2024-10-22T09:48:32Z</vt:lpwstr>
  </property>
  <property fmtid="{D5CDD505-2E9C-101B-9397-08002B2CF9AE}" pid="4" name="MSIP_Label_b284f6bf-f638-41cc-935f-2157ddac8142_Method">
    <vt:lpwstr>Privileged</vt:lpwstr>
  </property>
  <property fmtid="{D5CDD505-2E9C-101B-9397-08002B2CF9AE}" pid="5" name="MSIP_Label_b284f6bf-f638-41cc-935f-2157ddac8142_Name">
    <vt:lpwstr>b284f6bf-f638-41cc-935f-2157ddac8142</vt:lpwstr>
  </property>
  <property fmtid="{D5CDD505-2E9C-101B-9397-08002B2CF9AE}" pid="6" name="MSIP_Label_b284f6bf-f638-41cc-935f-2157ddac8142_SiteId">
    <vt:lpwstr>d539d4bf-5610-471a-afc2-1c76685cfefa</vt:lpwstr>
  </property>
  <property fmtid="{D5CDD505-2E9C-101B-9397-08002B2CF9AE}" pid="7" name="MSIP_Label_b284f6bf-f638-41cc-935f-2157ddac8142_ActionId">
    <vt:lpwstr>eb1c7ad2-79bd-4565-b3b2-3cd8eab2fe26</vt:lpwstr>
  </property>
  <property fmtid="{D5CDD505-2E9C-101B-9397-08002B2CF9AE}" pid="8" name="MSIP_Label_b284f6bf-f638-41cc-935f-2157ddac8142_ContentBits">
    <vt:lpwstr>0</vt:lpwstr>
  </property>
</Properties>
</file>